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A17E0" w:rsidRDefault="00EB6973">
      <w:pPr>
        <w:pStyle w:val="Tytu"/>
        <w:jc w:val="both"/>
        <w:rPr>
          <w:rFonts w:ascii="Times New Roman" w:eastAsia="Times New Roman" w:hAnsi="Times New Roman" w:cs="Times New Roman"/>
          <w:sz w:val="44"/>
          <w:szCs w:val="44"/>
        </w:rPr>
      </w:pPr>
      <w:bookmarkStart w:id="0" w:name="_1gcc1ix2qhwj" w:colFirst="0" w:colLast="0"/>
      <w:bookmarkEnd w:id="0"/>
      <w:r>
        <w:rPr>
          <w:rFonts w:ascii="Times New Roman" w:eastAsia="Times New Roman" w:hAnsi="Times New Roman" w:cs="Times New Roman"/>
          <w:sz w:val="44"/>
          <w:szCs w:val="44"/>
        </w:rPr>
        <w:t xml:space="preserve">Cele Polski w obszarze </w:t>
      </w: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offshore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>. Jak morską energetykę wiatrową widzą autorzy Krajowego Planu Odbudowy?</w:t>
      </w:r>
    </w:p>
    <w:p w14:paraId="00000002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7BC4F" w14:textId="47F28820" w:rsidR="00F12F8C" w:rsidRPr="00F12F8C" w:rsidRDefault="00F12F8C" w:rsidP="00F12F8C">
      <w:pPr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F12F8C">
        <w:rPr>
          <w:rFonts w:asciiTheme="majorHAnsi" w:eastAsia="Times New Roman" w:hAnsiTheme="majorHAnsi" w:cstheme="majorHAnsi"/>
          <w:bCs/>
          <w:sz w:val="24"/>
          <w:szCs w:val="24"/>
        </w:rPr>
        <w:t>Autor: Sebastian Jabłoński — prezes Zarządu spółki Respect Energy.</w:t>
      </w:r>
    </w:p>
    <w:p w14:paraId="00000003" w14:textId="315FEC21" w:rsidR="00CA17E0" w:rsidRDefault="00CA17E0" w:rsidP="00EB6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CA17E0" w:rsidRDefault="00EB6973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nv66etcdx6s3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Już okrzyknięty mianem przyszłego fundamentu polskiej energetyki —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offshore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— budzi ciekawość zarówno rządzących, jak i rynku. Czy mówiąc o morskich farmach wiatrowych, będziemy opierać się wyłącznie na przykładach z państw Europy Północnej i Zachodniej? Niekoniecznie. Przedstawiciele struktur unijnych już wycenili środki, które zostaną przeznaczone na polskie inwestycje, a autorzy Krajowego Planu Odbudowy wstępnie rozdysponowali przyszły zastrzyk gotówki. Czego możemy się spodziewać po krajowej interpretacji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offshore’u</w:t>
      </w:r>
      <w:proofErr w:type="spellEnd"/>
      <w:r>
        <w:rPr>
          <w:rFonts w:ascii="Times New Roman" w:eastAsia="Times New Roman" w:hAnsi="Times New Roman" w:cs="Times New Roman"/>
          <w:color w:val="000000"/>
        </w:rPr>
        <w:t>?</w:t>
      </w:r>
    </w:p>
    <w:p w14:paraId="00000006" w14:textId="77777777" w:rsidR="00CA17E0" w:rsidRDefault="00EB6973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yc9b2svxy8ba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t>Rzut na północ</w:t>
      </w:r>
    </w:p>
    <w:p w14:paraId="00000007" w14:textId="77777777" w:rsidR="00CA17E0" w:rsidRDefault="00EB6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Najpoważniejsze rozmowy o przyszłych inwestycjach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offshore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przypadły na jesień 2020 roku. Dokładnie 25 września w Urzędzie Marszałkowskim Województwa Pomorskiego podpisano deklarację powołania „Pomorskiej Platformy Rozwoju Morskiej Energetyki Wiatrowej na Bałtyku”. Co ważne, inicjatywę zapoczątkowali nie przedstawiciele trójmiejskiego biznesu, ani rząd centralny, a Rumia Invest Park — spółka celowa powołana przez gminę. Region ma zachęcać szerokie spektrum branż, które potencjalnie mogłyby inwestować w morskie farmy wiatrowe w polskiej strefie Bałtyku. Cel? Przygotowanie Pomorza do skali przedsięwzięcia, a ta jest jedną z bardziej okazałych, ponieważ chodzi o wybudowanie łącznie 6-GW obiektów. Termin? Pierwszy moduł kompleksu ma powstać do 2030 roku.</w:t>
      </w:r>
    </w:p>
    <w:p w14:paraId="00000008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0182747D" w:rsidR="00CA17E0" w:rsidRDefault="00EB6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Porozumienie zainicjowane przez Rumię ma działać na rzecz wsparcia przedsiębiorców, rozwoju kontaktów gospodarczych, przygotowania kadry, wykorzystania potencjału badawczo-rozwojowego oraz budowy świadomości społecznej. Jak na razie, w skład zespołu wchodzą samorządowcy, przedstawiciele uczelni wyższych, organizacji branżowych i przedsiębiorcy. Pierwszy wniosek — w końcu idziemy w dobrym kierunku. Niemcy od ponad dwóch dekad łączą doświadczenia interdyscyplinarnych ośrodków. Austriacy (regionalni liderzy OZE) również korzystają z doświadczeń zarówno ekspertów rządu, instytutów badawczych, jak i krajowego biznesu. Jeśli polskie inwestycje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offshore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będą realizowane w zapowiadanym duchu,</w:t>
      </w:r>
      <w:r w:rsidR="000B5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możemy się spodziewać naprawdę obiecującego rozdziału w historii lokalnej branży źródeł odnawialnych.</w:t>
      </w:r>
    </w:p>
    <w:p w14:paraId="0000000A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A17E0" w:rsidRDefault="00EB6973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oeozr72n7hmw" w:colFirst="0" w:colLast="0"/>
      <w:bookmarkEnd w:id="3"/>
      <w:r>
        <w:rPr>
          <w:rFonts w:ascii="Times New Roman" w:eastAsia="Times New Roman" w:hAnsi="Times New Roman" w:cs="Times New Roman"/>
          <w:color w:val="000000"/>
        </w:rPr>
        <w:t>Szanse dla polskiej energetyki i rynku</w:t>
      </w:r>
    </w:p>
    <w:p w14:paraId="0000000C" w14:textId="7D394772" w:rsidR="00CA17E0" w:rsidRDefault="00EB6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Rumii ma powstać Centrum Kompetencji Morskiej Energetyki Wiatrowej, które będzie szkolić kadry, a funkcję portu instalacyjnego będzie pełnić Gdynia. Decentralizacja inwestycji to kolejny sygnał dla krajowego rynku, że regiony zaczynają się mocno usamodzielniać w kwestii rozbudowy infrastruktury źródeł odnawialnych. Instalacje to również szansa dla 60-70 tys. pracowników w całym kraju. Zależy to oczywiście od planowanej skali realizacji (według samorządowców z Rumii, do 2040 roku realnym scenariuszem jest 12 GW; zdaniem Michała Kurtyki z Ministerstwa Klimatu — od 8 do 11 GW, co jest scenariuszem najbardziej zbliżonym do założeń Krajowego Planu Odbudowy). Kolejnym elementem, który dobrze wróży inwestycji jest współpraca międzynarodowa.</w:t>
      </w:r>
    </w:p>
    <w:p w14:paraId="0000000D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A17E0" w:rsidRDefault="00EB6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koniec września w Szczecinie przedstawiciele Komisji Europejskiej oraz ministrowie z Polski, Danii, Finlandii, Estonii, Litwy, Łotwy, Niemiec i Szwecji podpisali „Deklarację Bałtycką na rzecz Morskiej Energetyki Wiatrowej”. Szczególnie korzystanie z doświadczeń państw nordyckich może przynieść pomorskim inwestycjom niemały powiew świeżości. To unikalne know-how przyda się również innym gałęziom źródeł odnawialnych, a polski rynek jest w stanie wejść na kolejny poziom odpowiedzialnej konsumpcji energetycznej. Czy tak się stanie? Całkiem możliwe, ponieważ oprócz farm morskich, środki unijne mają objąć cały obszar transformacyjny.</w:t>
      </w:r>
    </w:p>
    <w:p w14:paraId="0000000F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A17E0" w:rsidRDefault="00EB6973">
      <w:pPr>
        <w:pStyle w:val="Podtytu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31p468wj1ccm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Liczby na morzu</w:t>
      </w:r>
    </w:p>
    <w:p w14:paraId="00000011" w14:textId="1976E6D7" w:rsidR="00CA17E0" w:rsidRDefault="00EB6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 koniec lutego rząd przedstawił projekt Krajowego Planu Odbudowy. Według wstępnych szacunków, na odbudowę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postcovidowej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gospodarki Polsce ma przypaść 58 mld euro (23,9 mld dotacji i 34,2 mld pożyczek). Najwięksi beneficjenci? Właśnie zielone inwestycje oraz inicjatywy poprawiające efektywność energetyczną. W centrum zainteresowania autorów KPO znalazł się oczywiście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offshore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Biorąc pod uwagę zastrzyk unijnych środków oraz inne źródła finansowania, ten obszar ma zyskać niebagatelne 437 mln euro (na poczet budowy farm i infrastruktury towarzyszącej). W projekcie moc zainstalowanych morskich farm wiatrowych do roku 2026 przewidywana jest na 2,6 GW, a zgodnie z polityką energetyczną Polski do 2040 roku krajowa 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offshore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objąć 11 GW.</w:t>
      </w:r>
    </w:p>
    <w:p w14:paraId="00000012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CA17E0" w:rsidRDefault="00EB69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 ważne, KPO przewiduje powstanie tzw. społeczności energetycznych. Tego typu podmiotów ma powstać 20 - będą to klastry energii, spółdzielnie energetyczne i zbiorowe porozumienia prosumentów. Ponadto, do 2030 roku kraju ma powstać do 300 lokalnych obszarów energetycznych, które będzie cechować zdolność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samobilansowania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Są to tylko niektóre plany Krajowego Programu Odbudowy, ale powtarzający się już motyw decentralizacji branży energetycznej oraz kompleksowe podejście do farm morskich jest naprawdę dobrym sygnałem dla potencjalnych inwestorów.</w:t>
      </w:r>
    </w:p>
    <w:p w14:paraId="00000014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A17E0" w:rsidRDefault="00EB69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Holistyczna wizja rozwoju energetyki odnawialnej i angaż regionu oraz ścisła współpraca interdyscyplinarna. Te obszary to światełko w tunelu dla całej branży, a najbliższe 3 lata mogą stanąć pod znakiem naprawdę imponujących postępów — zarówno w kwestii rozbudowy krajowego zaplecza OZE, jak i redukcji dwutlenku węgla.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Offshore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jest wyłącznie przykładem trendu, który na dobre rozgaszcza się w Polsce. Miejmy nadzieję, że to nie koniec zaskoczeń w dziedzinie źródeł odnawialnych.</w:t>
      </w:r>
    </w:p>
    <w:p w14:paraId="00000016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A17E0" w:rsidRDefault="00CA17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A17E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E0"/>
    <w:rsid w:val="00081711"/>
    <w:rsid w:val="000B52D1"/>
    <w:rsid w:val="001B2E51"/>
    <w:rsid w:val="00CA17E0"/>
    <w:rsid w:val="00EB6973"/>
    <w:rsid w:val="00F1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0C53"/>
  <w15:docId w15:val="{6BB5608B-CA0B-4E4C-A078-AAA9081B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Piątkowska</dc:creator>
  <cp:lastModifiedBy>Justyna Moskalewicz</cp:lastModifiedBy>
  <cp:revision>2</cp:revision>
  <dcterms:created xsi:type="dcterms:W3CDTF">2021-03-24T11:30:00Z</dcterms:created>
  <dcterms:modified xsi:type="dcterms:W3CDTF">2021-03-24T11:30:00Z</dcterms:modified>
</cp:coreProperties>
</file>